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371B" w14:textId="77777777" w:rsidR="004E290B" w:rsidRPr="005A43CC" w:rsidRDefault="004E290B" w:rsidP="002D3F1A">
      <w:pPr>
        <w:numPr>
          <w:ilvl w:val="0"/>
          <w:numId w:val="1"/>
        </w:numPr>
        <w:tabs>
          <w:tab w:val="clear" w:pos="644"/>
          <w:tab w:val="num" w:pos="567"/>
        </w:tabs>
        <w:spacing w:before="240"/>
        <w:ind w:left="567" w:hanging="587"/>
        <w:jc w:val="both"/>
        <w:rPr>
          <w:rFonts w:ascii="Arial" w:hAnsi="Arial" w:cs="Arial"/>
          <w:sz w:val="22"/>
          <w:szCs w:val="22"/>
        </w:rPr>
      </w:pPr>
      <w:bookmarkStart w:id="0" w:name="_GoBack"/>
      <w:bookmarkEnd w:id="0"/>
      <w:r w:rsidRPr="00924EF6">
        <w:rPr>
          <w:rFonts w:ascii="Arial" w:hAnsi="Arial" w:cs="Arial"/>
          <w:sz w:val="22"/>
          <w:szCs w:val="22"/>
        </w:rPr>
        <w:t xml:space="preserve">Section 141 of the </w:t>
      </w:r>
      <w:r w:rsidRPr="005A43CC">
        <w:rPr>
          <w:rFonts w:ascii="Arial" w:hAnsi="Arial" w:cs="Arial"/>
          <w:i/>
          <w:sz w:val="22"/>
          <w:szCs w:val="22"/>
        </w:rPr>
        <w:t>Information Privacy Act 2009</w:t>
      </w:r>
      <w:r w:rsidRPr="00924EF6">
        <w:rPr>
          <w:rFonts w:ascii="Arial" w:hAnsi="Arial" w:cs="Arial"/>
          <w:sz w:val="22"/>
          <w:szCs w:val="22"/>
        </w:rPr>
        <w:t xml:space="preserve"> (the Act) states there is to be a Privacy Commissioner.</w:t>
      </w:r>
    </w:p>
    <w:p w14:paraId="7198F207" w14:textId="77777777" w:rsidR="004E290B" w:rsidRPr="005A43CC" w:rsidRDefault="004E290B" w:rsidP="002D3F1A">
      <w:pPr>
        <w:numPr>
          <w:ilvl w:val="0"/>
          <w:numId w:val="1"/>
        </w:numPr>
        <w:tabs>
          <w:tab w:val="clear" w:pos="644"/>
          <w:tab w:val="num" w:pos="567"/>
        </w:tabs>
        <w:spacing w:before="240"/>
        <w:ind w:left="567" w:hanging="587"/>
        <w:jc w:val="both"/>
        <w:rPr>
          <w:rFonts w:ascii="Arial" w:hAnsi="Arial" w:cs="Arial"/>
          <w:sz w:val="22"/>
          <w:szCs w:val="22"/>
        </w:rPr>
      </w:pPr>
      <w:r w:rsidRPr="005A43CC">
        <w:rPr>
          <w:rFonts w:ascii="Arial" w:hAnsi="Arial" w:cs="Arial"/>
          <w:sz w:val="22"/>
          <w:szCs w:val="22"/>
        </w:rPr>
        <w:t>Section 142(1) of the Act provides that the Privacy Commissioner’s role is that of a deputy to the Information Commissioner, with particular responsibility for matters relating to the Information Commissioner’s functions under the Act.</w:t>
      </w:r>
    </w:p>
    <w:p w14:paraId="1389F3FA" w14:textId="77777777" w:rsidR="004E290B" w:rsidRPr="005A43CC" w:rsidRDefault="004E290B" w:rsidP="002D3F1A">
      <w:pPr>
        <w:numPr>
          <w:ilvl w:val="0"/>
          <w:numId w:val="1"/>
        </w:numPr>
        <w:tabs>
          <w:tab w:val="clear" w:pos="644"/>
          <w:tab w:val="num" w:pos="567"/>
        </w:tabs>
        <w:spacing w:before="240"/>
        <w:ind w:left="567" w:hanging="587"/>
        <w:jc w:val="both"/>
        <w:rPr>
          <w:rFonts w:ascii="Arial" w:hAnsi="Arial" w:cs="Arial"/>
          <w:sz w:val="22"/>
          <w:szCs w:val="22"/>
        </w:rPr>
      </w:pPr>
      <w:r w:rsidRPr="005A43CC">
        <w:rPr>
          <w:rFonts w:ascii="Arial" w:hAnsi="Arial" w:cs="Arial"/>
          <w:sz w:val="22"/>
          <w:szCs w:val="22"/>
        </w:rPr>
        <w:t>Section 143 of the Act provides that the Privacy Commissioner is subject to the direction of the Information Commissioner.</w:t>
      </w:r>
    </w:p>
    <w:p w14:paraId="2E6173FF" w14:textId="77777777" w:rsidR="004E290B" w:rsidRPr="005A43CC" w:rsidRDefault="004E290B" w:rsidP="002D3F1A">
      <w:pPr>
        <w:numPr>
          <w:ilvl w:val="0"/>
          <w:numId w:val="1"/>
        </w:numPr>
        <w:tabs>
          <w:tab w:val="clear" w:pos="644"/>
          <w:tab w:val="num" w:pos="567"/>
        </w:tabs>
        <w:spacing w:before="240"/>
        <w:ind w:left="567" w:hanging="587"/>
        <w:jc w:val="both"/>
        <w:rPr>
          <w:rFonts w:ascii="Arial" w:hAnsi="Arial" w:cs="Arial"/>
          <w:sz w:val="22"/>
          <w:szCs w:val="22"/>
        </w:rPr>
      </w:pPr>
      <w:r w:rsidRPr="005A43CC">
        <w:rPr>
          <w:rFonts w:ascii="Arial" w:hAnsi="Arial" w:cs="Arial"/>
          <w:sz w:val="22"/>
          <w:szCs w:val="22"/>
        </w:rPr>
        <w:t xml:space="preserve">Section 144(1) of the Act provides that the Privacy Commissioner is appointed by the Governor in Council. Section 144(2) states that the Privacy Commissioner is appointed under the Act and not under the </w:t>
      </w:r>
      <w:r w:rsidRPr="002D3F1A">
        <w:rPr>
          <w:rFonts w:ascii="Arial" w:hAnsi="Arial" w:cs="Arial"/>
          <w:i/>
          <w:sz w:val="22"/>
          <w:szCs w:val="22"/>
        </w:rPr>
        <w:t>Public Service Act 2008</w:t>
      </w:r>
      <w:r w:rsidRPr="005A43CC">
        <w:rPr>
          <w:rFonts w:ascii="Arial" w:hAnsi="Arial" w:cs="Arial"/>
          <w:sz w:val="22"/>
          <w:szCs w:val="22"/>
        </w:rPr>
        <w:t>.</w:t>
      </w:r>
    </w:p>
    <w:p w14:paraId="6BABBDA0" w14:textId="77777777" w:rsidR="004E290B" w:rsidRPr="005A43CC" w:rsidRDefault="004E290B" w:rsidP="002D3F1A">
      <w:pPr>
        <w:numPr>
          <w:ilvl w:val="0"/>
          <w:numId w:val="1"/>
        </w:numPr>
        <w:tabs>
          <w:tab w:val="clear" w:pos="644"/>
          <w:tab w:val="num" w:pos="567"/>
        </w:tabs>
        <w:spacing w:before="240"/>
        <w:ind w:left="567" w:hanging="587"/>
        <w:jc w:val="both"/>
        <w:rPr>
          <w:rFonts w:ascii="Arial" w:hAnsi="Arial" w:cs="Arial"/>
          <w:sz w:val="22"/>
          <w:szCs w:val="22"/>
        </w:rPr>
      </w:pPr>
      <w:r w:rsidRPr="005A43CC">
        <w:rPr>
          <w:rFonts w:ascii="Arial" w:hAnsi="Arial" w:cs="Arial"/>
          <w:sz w:val="22"/>
          <w:szCs w:val="22"/>
        </w:rPr>
        <w:t>Section 146(1) of the Act provides that the Privacy Commissioner holds office for the term, of not more than five years, stated in the instrument of appointment.</w:t>
      </w:r>
    </w:p>
    <w:p w14:paraId="3696819C" w14:textId="77777777" w:rsidR="004E290B" w:rsidRPr="005A43CC" w:rsidRDefault="004E290B" w:rsidP="002D3F1A">
      <w:pPr>
        <w:numPr>
          <w:ilvl w:val="0"/>
          <w:numId w:val="1"/>
        </w:numPr>
        <w:tabs>
          <w:tab w:val="clear" w:pos="644"/>
          <w:tab w:val="num" w:pos="567"/>
        </w:tabs>
        <w:spacing w:before="240"/>
        <w:ind w:left="567" w:hanging="587"/>
        <w:jc w:val="both"/>
        <w:rPr>
          <w:rFonts w:ascii="Arial" w:hAnsi="Arial" w:cs="Arial"/>
          <w:sz w:val="22"/>
          <w:szCs w:val="22"/>
        </w:rPr>
      </w:pPr>
      <w:r w:rsidRPr="005A43CC">
        <w:rPr>
          <w:rFonts w:ascii="Arial" w:hAnsi="Arial" w:cs="Arial"/>
          <w:sz w:val="22"/>
          <w:szCs w:val="22"/>
        </w:rPr>
        <w:t xml:space="preserve">Section 146(2) of the Act provides that a person being reappointed </w:t>
      </w:r>
      <w:r w:rsidR="00E60BB8">
        <w:rPr>
          <w:rFonts w:ascii="Arial" w:hAnsi="Arial" w:cs="Arial"/>
          <w:sz w:val="22"/>
          <w:szCs w:val="22"/>
        </w:rPr>
        <w:t>as the Privacy Commissioner can</w:t>
      </w:r>
      <w:r w:rsidRPr="005A43CC">
        <w:rPr>
          <w:rFonts w:ascii="Arial" w:hAnsi="Arial" w:cs="Arial"/>
          <w:sz w:val="22"/>
          <w:szCs w:val="22"/>
        </w:rPr>
        <w:t xml:space="preserve">not be reappointed for a term that would result in the person holding office as the Privacy Commissioner for more than 10 years continuously. </w:t>
      </w:r>
    </w:p>
    <w:p w14:paraId="46F71975" w14:textId="67F7776F" w:rsidR="00745D0C" w:rsidRPr="004E290B" w:rsidRDefault="00745D0C" w:rsidP="002D3F1A">
      <w:pPr>
        <w:numPr>
          <w:ilvl w:val="0"/>
          <w:numId w:val="1"/>
        </w:numPr>
        <w:tabs>
          <w:tab w:val="clear" w:pos="644"/>
          <w:tab w:val="num" w:pos="567"/>
        </w:tabs>
        <w:spacing w:before="240"/>
        <w:ind w:left="567" w:hanging="587"/>
        <w:jc w:val="both"/>
        <w:rPr>
          <w:rFonts w:ascii="Arial" w:hAnsi="Arial" w:cs="Arial"/>
          <w:sz w:val="22"/>
          <w:szCs w:val="22"/>
        </w:rPr>
      </w:pPr>
      <w:r w:rsidRPr="004E290B">
        <w:rPr>
          <w:rFonts w:ascii="Arial" w:hAnsi="Arial" w:cs="Arial"/>
          <w:sz w:val="22"/>
          <w:szCs w:val="22"/>
          <w:u w:val="single"/>
        </w:rPr>
        <w:t xml:space="preserve">Cabinet </w:t>
      </w:r>
      <w:r w:rsidR="004E290B" w:rsidRPr="004E290B">
        <w:rPr>
          <w:rFonts w:ascii="Arial" w:hAnsi="Arial" w:cs="Arial"/>
          <w:sz w:val="22"/>
          <w:szCs w:val="22"/>
          <w:u w:val="single"/>
        </w:rPr>
        <w:t>endorse</w:t>
      </w:r>
      <w:r w:rsidR="004E290B" w:rsidRPr="005A43CC">
        <w:rPr>
          <w:rFonts w:ascii="Arial" w:hAnsi="Arial" w:cs="Arial"/>
          <w:sz w:val="22"/>
          <w:szCs w:val="22"/>
        </w:rPr>
        <w:t xml:space="preserve"> </w:t>
      </w:r>
      <w:r w:rsidR="004E290B" w:rsidRPr="004E290B">
        <w:rPr>
          <w:rFonts w:ascii="Arial" w:hAnsi="Arial" w:cs="Arial"/>
          <w:sz w:val="22"/>
          <w:szCs w:val="22"/>
        </w:rPr>
        <w:t>that Mr Philip Green be recommended to the Governor in Council for reappointment as the Privacy Commissioner for a term of three years commencing on and from 11 December 2018 up to and including 10 December 2021</w:t>
      </w:r>
      <w:r w:rsidR="002E4280" w:rsidRPr="004E290B">
        <w:rPr>
          <w:rFonts w:ascii="Arial" w:hAnsi="Arial" w:cs="Arial"/>
          <w:sz w:val="22"/>
          <w:szCs w:val="22"/>
        </w:rPr>
        <w:t xml:space="preserve">. </w:t>
      </w:r>
    </w:p>
    <w:p w14:paraId="10988AE7" w14:textId="567B1371" w:rsidR="00343573" w:rsidRPr="004E290B" w:rsidRDefault="00343573" w:rsidP="002D3F1A">
      <w:pPr>
        <w:numPr>
          <w:ilvl w:val="0"/>
          <w:numId w:val="1"/>
        </w:numPr>
        <w:tabs>
          <w:tab w:val="clear" w:pos="644"/>
          <w:tab w:val="num" w:pos="567"/>
        </w:tabs>
        <w:spacing w:before="240"/>
        <w:ind w:left="567" w:hanging="587"/>
        <w:jc w:val="both"/>
        <w:rPr>
          <w:rFonts w:ascii="Arial" w:hAnsi="Arial" w:cs="Arial"/>
          <w:sz w:val="22"/>
          <w:szCs w:val="22"/>
        </w:rPr>
      </w:pPr>
      <w:r w:rsidRPr="004E290B">
        <w:rPr>
          <w:rFonts w:ascii="Arial" w:hAnsi="Arial" w:cs="Arial"/>
          <w:sz w:val="22"/>
          <w:szCs w:val="22"/>
          <w:u w:val="single"/>
        </w:rPr>
        <w:t>Cabinet noted</w:t>
      </w:r>
      <w:r w:rsidRPr="004E290B">
        <w:rPr>
          <w:rFonts w:ascii="Arial" w:hAnsi="Arial" w:cs="Arial"/>
          <w:sz w:val="22"/>
          <w:szCs w:val="22"/>
        </w:rPr>
        <w:t xml:space="preserve"> consultation </w:t>
      </w:r>
      <w:r w:rsidR="001B32EB">
        <w:rPr>
          <w:rFonts w:ascii="Arial" w:hAnsi="Arial" w:cs="Arial"/>
          <w:sz w:val="22"/>
          <w:szCs w:val="22"/>
        </w:rPr>
        <w:t>would</w:t>
      </w:r>
      <w:r w:rsidR="003A46E2" w:rsidRPr="004E290B">
        <w:rPr>
          <w:rFonts w:ascii="Arial" w:hAnsi="Arial" w:cs="Arial"/>
          <w:sz w:val="22"/>
          <w:szCs w:val="22"/>
        </w:rPr>
        <w:t xml:space="preserve"> occur</w:t>
      </w:r>
      <w:r w:rsidRPr="004E290B">
        <w:rPr>
          <w:rFonts w:ascii="Arial" w:hAnsi="Arial" w:cs="Arial"/>
          <w:sz w:val="22"/>
          <w:szCs w:val="22"/>
        </w:rPr>
        <w:t xml:space="preserve"> with the Legal Affairs and Community Safety Committee </w:t>
      </w:r>
      <w:r w:rsidR="003A46E2" w:rsidRPr="004E290B">
        <w:rPr>
          <w:rFonts w:ascii="Arial" w:hAnsi="Arial" w:cs="Arial"/>
          <w:sz w:val="22"/>
          <w:szCs w:val="22"/>
        </w:rPr>
        <w:t>prior to seeking Governor in Council approval</w:t>
      </w:r>
      <w:r w:rsidR="001B32EB">
        <w:rPr>
          <w:rFonts w:ascii="Arial" w:hAnsi="Arial" w:cs="Arial"/>
          <w:sz w:val="22"/>
          <w:szCs w:val="22"/>
        </w:rPr>
        <w:t>,</w:t>
      </w:r>
      <w:r w:rsidR="003A46E2" w:rsidRPr="004E290B">
        <w:rPr>
          <w:rFonts w:ascii="Arial" w:hAnsi="Arial" w:cs="Arial"/>
          <w:sz w:val="22"/>
          <w:szCs w:val="22"/>
        </w:rPr>
        <w:t xml:space="preserve"> </w:t>
      </w:r>
      <w:r w:rsidRPr="004E290B">
        <w:rPr>
          <w:rFonts w:ascii="Arial" w:hAnsi="Arial" w:cs="Arial"/>
          <w:sz w:val="22"/>
          <w:szCs w:val="22"/>
        </w:rPr>
        <w:t xml:space="preserve">as required by </w:t>
      </w:r>
      <w:r w:rsidR="00F30649" w:rsidRPr="004E290B">
        <w:rPr>
          <w:rFonts w:ascii="Arial" w:hAnsi="Arial" w:cs="Arial"/>
          <w:sz w:val="22"/>
          <w:szCs w:val="22"/>
        </w:rPr>
        <w:t xml:space="preserve">section </w:t>
      </w:r>
      <w:r w:rsidR="004E290B" w:rsidRPr="004E290B">
        <w:rPr>
          <w:rFonts w:ascii="Arial" w:hAnsi="Arial" w:cs="Arial"/>
          <w:sz w:val="22"/>
          <w:szCs w:val="22"/>
          <w:lang w:val="en"/>
        </w:rPr>
        <w:t>145(1)(b)(ii)</w:t>
      </w:r>
      <w:r w:rsidR="00F30649" w:rsidRPr="004E290B">
        <w:rPr>
          <w:rFonts w:ascii="Arial" w:hAnsi="Arial" w:cs="Arial"/>
          <w:sz w:val="22"/>
          <w:szCs w:val="22"/>
        </w:rPr>
        <w:t xml:space="preserve"> of </w:t>
      </w:r>
      <w:r w:rsidRPr="004E290B">
        <w:rPr>
          <w:rFonts w:ascii="Arial" w:hAnsi="Arial" w:cs="Arial"/>
          <w:sz w:val="22"/>
          <w:szCs w:val="22"/>
        </w:rPr>
        <w:t xml:space="preserve">the </w:t>
      </w:r>
      <w:r w:rsidR="007478C1" w:rsidRPr="007478C1">
        <w:rPr>
          <w:rFonts w:ascii="Arial" w:hAnsi="Arial" w:cs="Arial"/>
          <w:i/>
          <w:sz w:val="22"/>
          <w:szCs w:val="22"/>
        </w:rPr>
        <w:t xml:space="preserve">Information Privacy </w:t>
      </w:r>
      <w:r w:rsidR="00A2586B" w:rsidRPr="007478C1">
        <w:rPr>
          <w:rFonts w:ascii="Arial" w:hAnsi="Arial" w:cs="Arial"/>
          <w:i/>
          <w:sz w:val="22"/>
          <w:szCs w:val="22"/>
        </w:rPr>
        <w:t>Act</w:t>
      </w:r>
      <w:r w:rsidR="007478C1" w:rsidRPr="007478C1">
        <w:rPr>
          <w:rFonts w:ascii="Arial" w:hAnsi="Arial" w:cs="Arial"/>
          <w:i/>
          <w:sz w:val="22"/>
          <w:szCs w:val="22"/>
        </w:rPr>
        <w:t xml:space="preserve"> 2009</w:t>
      </w:r>
      <w:r w:rsidRPr="004E290B">
        <w:rPr>
          <w:rFonts w:ascii="Arial" w:hAnsi="Arial" w:cs="Arial"/>
          <w:sz w:val="22"/>
          <w:szCs w:val="22"/>
        </w:rPr>
        <w:t>.</w:t>
      </w:r>
    </w:p>
    <w:p w14:paraId="47157AE3" w14:textId="259FD4F0" w:rsidR="00986617" w:rsidRPr="004E290B" w:rsidRDefault="00986617" w:rsidP="001B32EB">
      <w:pPr>
        <w:numPr>
          <w:ilvl w:val="0"/>
          <w:numId w:val="1"/>
        </w:numPr>
        <w:tabs>
          <w:tab w:val="clear" w:pos="644"/>
          <w:tab w:val="num" w:pos="567"/>
        </w:tabs>
        <w:spacing w:before="360"/>
        <w:ind w:left="567" w:hanging="587"/>
        <w:jc w:val="both"/>
        <w:rPr>
          <w:rFonts w:ascii="Arial" w:hAnsi="Arial" w:cs="Arial"/>
          <w:i/>
          <w:sz w:val="22"/>
          <w:szCs w:val="22"/>
          <w:u w:val="single"/>
        </w:rPr>
      </w:pPr>
      <w:r w:rsidRPr="004E290B">
        <w:rPr>
          <w:rFonts w:ascii="Arial" w:hAnsi="Arial" w:cs="Arial"/>
          <w:i/>
          <w:sz w:val="22"/>
          <w:szCs w:val="22"/>
          <w:u w:val="single"/>
        </w:rPr>
        <w:t>Attachments</w:t>
      </w:r>
    </w:p>
    <w:p w14:paraId="1E182E6F" w14:textId="77777777" w:rsidR="00986617" w:rsidRPr="004E290B" w:rsidRDefault="00986617" w:rsidP="001B32EB">
      <w:pPr>
        <w:numPr>
          <w:ilvl w:val="0"/>
          <w:numId w:val="13"/>
        </w:numPr>
        <w:spacing w:before="120"/>
        <w:ind w:left="993"/>
        <w:jc w:val="both"/>
        <w:rPr>
          <w:rFonts w:ascii="Arial" w:hAnsi="Arial" w:cs="Arial"/>
          <w:sz w:val="22"/>
          <w:szCs w:val="22"/>
        </w:rPr>
      </w:pPr>
      <w:r w:rsidRPr="004E290B">
        <w:rPr>
          <w:rFonts w:ascii="Arial" w:hAnsi="Arial" w:cs="Arial"/>
          <w:sz w:val="22"/>
          <w:szCs w:val="22"/>
        </w:rPr>
        <w:t>Nil</w:t>
      </w:r>
      <w:r w:rsidR="00B63FC5" w:rsidRPr="004E290B">
        <w:rPr>
          <w:rFonts w:ascii="Arial" w:hAnsi="Arial" w:cs="Arial"/>
          <w:sz w:val="22"/>
          <w:szCs w:val="22"/>
        </w:rPr>
        <w:t>.</w:t>
      </w:r>
    </w:p>
    <w:sectPr w:rsidR="00986617" w:rsidRPr="004E290B" w:rsidSect="002D3F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2C940" w14:textId="77777777" w:rsidR="007372E9" w:rsidRDefault="007372E9" w:rsidP="00D6589B">
      <w:r>
        <w:separator/>
      </w:r>
    </w:p>
  </w:endnote>
  <w:endnote w:type="continuationSeparator" w:id="0">
    <w:p w14:paraId="6011C6C1" w14:textId="77777777" w:rsidR="007372E9" w:rsidRDefault="007372E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662F" w14:textId="77777777" w:rsidR="004E290B" w:rsidRDefault="004E2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6A5B" w14:textId="77777777" w:rsidR="004E290B" w:rsidRDefault="004E2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0C1F" w14:textId="77777777" w:rsidR="004E290B" w:rsidRDefault="004E2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0EDCA" w14:textId="77777777" w:rsidR="007372E9" w:rsidRDefault="007372E9" w:rsidP="00D6589B">
      <w:r>
        <w:separator/>
      </w:r>
    </w:p>
  </w:footnote>
  <w:footnote w:type="continuationSeparator" w:id="0">
    <w:p w14:paraId="2CC8C0CC" w14:textId="77777777" w:rsidR="007372E9" w:rsidRDefault="007372E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D18F" w14:textId="77777777" w:rsidR="004E290B" w:rsidRDefault="004E2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C219" w14:textId="77777777" w:rsidR="000549E7" w:rsidRPr="00937A4A" w:rsidRDefault="000549E7" w:rsidP="000549E7">
    <w:pPr>
      <w:pBdr>
        <w:top w:val="thinThickLargeGap" w:sz="24" w:space="1"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025F660" w14:textId="77777777" w:rsidR="000549E7" w:rsidRPr="00937A4A" w:rsidRDefault="000549E7" w:rsidP="000549E7">
    <w:pPr>
      <w:pBdr>
        <w:top w:val="thinThickLargeGap" w:sz="24" w:space="1"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B698AAD" w14:textId="77777777" w:rsidR="000549E7" w:rsidRPr="00937A4A" w:rsidRDefault="000549E7" w:rsidP="000549E7">
    <w:pPr>
      <w:pBdr>
        <w:top w:val="thinThickLargeGap" w:sz="24" w:space="1"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E290B">
      <w:rPr>
        <w:rFonts w:ascii="Arial" w:hAnsi="Arial" w:cs="Arial"/>
        <w:b/>
        <w:color w:val="auto"/>
        <w:sz w:val="22"/>
        <w:szCs w:val="22"/>
        <w:lang w:eastAsia="en-US"/>
      </w:rPr>
      <w:t xml:space="preserve">Cabinet – </w:t>
    </w:r>
    <w:r w:rsidR="004E290B" w:rsidRPr="004E290B">
      <w:rPr>
        <w:rFonts w:ascii="Arial" w:hAnsi="Arial" w:cs="Arial"/>
        <w:b/>
        <w:color w:val="auto"/>
        <w:sz w:val="22"/>
        <w:szCs w:val="22"/>
        <w:lang w:eastAsia="en-US"/>
      </w:rPr>
      <w:t>October</w:t>
    </w:r>
    <w:r w:rsidRPr="004E290B">
      <w:rPr>
        <w:rFonts w:ascii="Arial" w:hAnsi="Arial" w:cs="Arial"/>
        <w:b/>
        <w:color w:val="auto"/>
        <w:sz w:val="22"/>
        <w:szCs w:val="22"/>
        <w:lang w:eastAsia="en-US"/>
      </w:rPr>
      <w:t xml:space="preserve"> 2018</w:t>
    </w:r>
  </w:p>
  <w:p w14:paraId="4AFA0BD4" w14:textId="77777777" w:rsidR="000549E7" w:rsidRDefault="00780C65" w:rsidP="000549E7">
    <w:pPr>
      <w:pStyle w:val="Header"/>
      <w:spacing w:before="120"/>
      <w:rPr>
        <w:rFonts w:ascii="Arial" w:hAnsi="Arial" w:cs="Arial"/>
        <w:b/>
        <w:sz w:val="22"/>
        <w:szCs w:val="22"/>
        <w:u w:val="single"/>
      </w:rPr>
    </w:pPr>
    <w:r>
      <w:rPr>
        <w:rFonts w:ascii="Arial" w:hAnsi="Arial" w:cs="Arial"/>
        <w:b/>
        <w:sz w:val="22"/>
        <w:szCs w:val="22"/>
        <w:u w:val="single"/>
      </w:rPr>
      <w:t>Rea</w:t>
    </w:r>
    <w:r w:rsidR="000549E7">
      <w:rPr>
        <w:rFonts w:ascii="Arial" w:hAnsi="Arial" w:cs="Arial"/>
        <w:b/>
        <w:sz w:val="22"/>
        <w:szCs w:val="22"/>
        <w:u w:val="single"/>
      </w:rPr>
      <w:t xml:space="preserve">ppointment of </w:t>
    </w:r>
    <w:r w:rsidR="004E290B">
      <w:rPr>
        <w:rFonts w:ascii="Arial" w:hAnsi="Arial" w:cs="Arial"/>
        <w:b/>
        <w:sz w:val="22"/>
        <w:szCs w:val="22"/>
        <w:u w:val="single"/>
      </w:rPr>
      <w:t>the</w:t>
    </w:r>
    <w:r w:rsidR="000549E7">
      <w:rPr>
        <w:rFonts w:ascii="Arial" w:hAnsi="Arial" w:cs="Arial"/>
        <w:b/>
        <w:sz w:val="22"/>
        <w:szCs w:val="22"/>
        <w:u w:val="single"/>
      </w:rPr>
      <w:t xml:space="preserve"> </w:t>
    </w:r>
    <w:r>
      <w:rPr>
        <w:rFonts w:ascii="Arial" w:hAnsi="Arial" w:cs="Arial"/>
        <w:b/>
        <w:sz w:val="22"/>
        <w:szCs w:val="22"/>
        <w:u w:val="single"/>
      </w:rPr>
      <w:t xml:space="preserve">Privacy </w:t>
    </w:r>
    <w:r w:rsidR="000549E7">
      <w:rPr>
        <w:rFonts w:ascii="Arial" w:hAnsi="Arial" w:cs="Arial"/>
        <w:b/>
        <w:sz w:val="22"/>
        <w:szCs w:val="22"/>
        <w:u w:val="single"/>
      </w:rPr>
      <w:t>Commissioner</w:t>
    </w:r>
  </w:p>
  <w:p w14:paraId="75A49CF4" w14:textId="77777777" w:rsidR="000549E7" w:rsidRDefault="000549E7" w:rsidP="000549E7">
    <w:pPr>
      <w:pStyle w:val="Header"/>
      <w:spacing w:before="120"/>
      <w:rPr>
        <w:rFonts w:ascii="Arial" w:hAnsi="Arial" w:cs="Arial"/>
        <w:sz w:val="22"/>
        <w:szCs w:val="22"/>
        <w:u w:val="single"/>
      </w:rPr>
    </w:pPr>
    <w:r>
      <w:rPr>
        <w:rFonts w:ascii="Arial" w:hAnsi="Arial" w:cs="Arial"/>
        <w:b/>
        <w:sz w:val="22"/>
        <w:szCs w:val="22"/>
        <w:u w:val="single"/>
      </w:rPr>
      <w:t>Attorney-</w:t>
    </w:r>
    <w:r w:rsidRPr="0082020D">
      <w:rPr>
        <w:rFonts w:ascii="Arial" w:hAnsi="Arial" w:cs="Arial"/>
        <w:b/>
        <w:sz w:val="22"/>
        <w:szCs w:val="22"/>
        <w:u w:val="single"/>
      </w:rPr>
      <w:t xml:space="preserve">General and Minister for Justice </w:t>
    </w:r>
    <w:r w:rsidR="008B698B" w:rsidRPr="0082020D">
      <w:rPr>
        <w:rFonts w:ascii="Arial" w:hAnsi="Arial" w:cs="Arial"/>
        <w:b/>
        <w:sz w:val="22"/>
        <w:szCs w:val="22"/>
        <w:u w:val="single"/>
      </w:rPr>
      <w:t>and</w:t>
    </w:r>
    <w:r w:rsidR="008B698B">
      <w:rPr>
        <w:rFonts w:ascii="Arial" w:hAnsi="Arial" w:cs="Arial"/>
        <w:b/>
        <w:sz w:val="22"/>
        <w:szCs w:val="22"/>
        <w:u w:val="single"/>
      </w:rPr>
      <w:t xml:space="preserve"> Leader of the House</w:t>
    </w:r>
  </w:p>
  <w:p w14:paraId="47262DC8" w14:textId="77777777" w:rsidR="000549E7" w:rsidRDefault="000549E7" w:rsidP="000549E7">
    <w:pPr>
      <w:pBdr>
        <w:bottom w:val="single" w:sz="12" w:space="1" w:color="auto"/>
      </w:pBd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89FF" w14:textId="77777777" w:rsidR="004E290B" w:rsidRDefault="004E2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1CFB0F54"/>
    <w:multiLevelType w:val="hybridMultilevel"/>
    <w:tmpl w:val="7D5498BA"/>
    <w:lvl w:ilvl="0" w:tplc="7BAE3D6C">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F1D45CB"/>
    <w:multiLevelType w:val="hybridMultilevel"/>
    <w:tmpl w:val="5F581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1E46FBE"/>
    <w:multiLevelType w:val="hybridMultilevel"/>
    <w:tmpl w:val="409E81FA"/>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980"/>
        </w:tabs>
        <w:ind w:left="1980" w:hanging="36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105472A"/>
    <w:multiLevelType w:val="multilevel"/>
    <w:tmpl w:val="3048C174"/>
    <w:lvl w:ilvl="0">
      <w:start w:val="1"/>
      <w:numFmt w:val="decimal"/>
      <w:lvlText w:val="%1."/>
      <w:lvlJc w:val="left"/>
      <w:pPr>
        <w:tabs>
          <w:tab w:val="num" w:pos="360"/>
        </w:tabs>
        <w:ind w:left="360" w:hanging="360"/>
      </w:pPr>
      <w:rPr>
        <w:b w:val="0"/>
      </w:rPr>
    </w:lvl>
    <w:lvl w:ilvl="1">
      <w:start w:val="1"/>
      <w:numFmt w:val="bullet"/>
      <w:lvlText w:val=""/>
      <w:lvlJc w:val="left"/>
      <w:pPr>
        <w:tabs>
          <w:tab w:val="num" w:pos="1477"/>
        </w:tabs>
        <w:ind w:left="1477" w:hanging="397"/>
      </w:pPr>
      <w:rPr>
        <w:rFonts w:ascii="Symbol" w:hAnsi="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6F409D"/>
    <w:multiLevelType w:val="hybridMultilevel"/>
    <w:tmpl w:val="3048C174"/>
    <w:lvl w:ilvl="0" w:tplc="7BAE3D6C">
      <w:start w:val="1"/>
      <w:numFmt w:val="decimal"/>
      <w:lvlText w:val="%1."/>
      <w:lvlJc w:val="left"/>
      <w:pPr>
        <w:tabs>
          <w:tab w:val="num" w:pos="360"/>
        </w:tabs>
        <w:ind w:left="360" w:hanging="360"/>
      </w:pPr>
      <w:rPr>
        <w:b w:val="0"/>
      </w:rPr>
    </w:lvl>
    <w:lvl w:ilvl="1" w:tplc="B6E87C94">
      <w:start w:val="1"/>
      <w:numFmt w:val="bullet"/>
      <w:lvlText w:val=""/>
      <w:lvlJc w:val="left"/>
      <w:pPr>
        <w:tabs>
          <w:tab w:val="num" w:pos="1477"/>
        </w:tabs>
        <w:ind w:left="1477" w:hanging="397"/>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3A371594"/>
    <w:multiLevelType w:val="hybridMultilevel"/>
    <w:tmpl w:val="092E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91105"/>
    <w:multiLevelType w:val="hybridMultilevel"/>
    <w:tmpl w:val="62B05152"/>
    <w:lvl w:ilvl="0" w:tplc="43A09D80">
      <w:start w:val="1"/>
      <w:numFmt w:val="bullet"/>
      <w:lvlText w:val=""/>
      <w:lvlJc w:val="left"/>
      <w:pPr>
        <w:tabs>
          <w:tab w:val="num" w:pos="644"/>
        </w:tabs>
        <w:ind w:left="644" w:hanging="28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465CA"/>
    <w:multiLevelType w:val="hybridMultilevel"/>
    <w:tmpl w:val="C2640858"/>
    <w:lvl w:ilvl="0" w:tplc="43A09D80">
      <w:start w:val="1"/>
      <w:numFmt w:val="bullet"/>
      <w:lvlText w:val=""/>
      <w:lvlJc w:val="left"/>
      <w:pPr>
        <w:tabs>
          <w:tab w:val="num" w:pos="704"/>
        </w:tabs>
        <w:ind w:left="704" w:hanging="287"/>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B0650EB"/>
    <w:multiLevelType w:val="hybridMultilevel"/>
    <w:tmpl w:val="3BA22BDE"/>
    <w:lvl w:ilvl="0" w:tplc="7BAE3D6C">
      <w:start w:val="1"/>
      <w:numFmt w:val="decimal"/>
      <w:lvlText w:val="%1."/>
      <w:lvlJc w:val="left"/>
      <w:pPr>
        <w:tabs>
          <w:tab w:val="num" w:pos="360"/>
        </w:tabs>
        <w:ind w:left="360" w:hanging="360"/>
      </w:pPr>
      <w:rPr>
        <w:b w:val="0"/>
      </w:rPr>
    </w:lvl>
    <w:lvl w:ilvl="1" w:tplc="0C090003">
      <w:start w:val="1"/>
      <w:numFmt w:val="bullet"/>
      <w:lvlText w:val="o"/>
      <w:lvlJc w:val="left"/>
      <w:pPr>
        <w:tabs>
          <w:tab w:val="num" w:pos="1440"/>
        </w:tabs>
        <w:ind w:left="1440" w:hanging="360"/>
      </w:pPr>
      <w:rPr>
        <w:rFonts w:ascii="Courier New" w:hAnsi="Courier New" w:cs="Courier New"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176F87"/>
    <w:multiLevelType w:val="hybridMultilevel"/>
    <w:tmpl w:val="FF46D2D4"/>
    <w:lvl w:ilvl="0" w:tplc="BF582B1E">
      <w:start w:val="1"/>
      <w:numFmt w:val="decimal"/>
      <w:lvlText w:val="%1."/>
      <w:lvlJc w:val="left"/>
      <w:pPr>
        <w:tabs>
          <w:tab w:val="num" w:pos="644"/>
        </w:tabs>
        <w:ind w:left="644" w:hanging="360"/>
      </w:pPr>
      <w:rPr>
        <w:i w:val="0"/>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3"/>
  </w:num>
  <w:num w:numId="6">
    <w:abstractNumId w:val="7"/>
  </w:num>
  <w:num w:numId="7">
    <w:abstractNumId w:val="1"/>
  </w:num>
  <w:num w:numId="8">
    <w:abstractNumId w:val="5"/>
  </w:num>
  <w:num w:numId="9">
    <w:abstractNumId w:val="8"/>
  </w:num>
  <w:num w:numId="10">
    <w:abstractNumId w:val="4"/>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89B"/>
    <w:rsid w:val="0000598A"/>
    <w:rsid w:val="00035DDF"/>
    <w:rsid w:val="000549E7"/>
    <w:rsid w:val="00080F8F"/>
    <w:rsid w:val="00094025"/>
    <w:rsid w:val="000A3529"/>
    <w:rsid w:val="000B7E5A"/>
    <w:rsid w:val="000E532D"/>
    <w:rsid w:val="000F36EA"/>
    <w:rsid w:val="0013490D"/>
    <w:rsid w:val="00190521"/>
    <w:rsid w:val="001A06C0"/>
    <w:rsid w:val="001B32EB"/>
    <w:rsid w:val="001D2A2D"/>
    <w:rsid w:val="001E209B"/>
    <w:rsid w:val="002145A7"/>
    <w:rsid w:val="00255ABB"/>
    <w:rsid w:val="002B2E6D"/>
    <w:rsid w:val="002C1AA4"/>
    <w:rsid w:val="002D3F1A"/>
    <w:rsid w:val="002E4280"/>
    <w:rsid w:val="002F5F78"/>
    <w:rsid w:val="00323380"/>
    <w:rsid w:val="00343573"/>
    <w:rsid w:val="003A46E2"/>
    <w:rsid w:val="003D28EB"/>
    <w:rsid w:val="003E1BED"/>
    <w:rsid w:val="003E2B84"/>
    <w:rsid w:val="00407409"/>
    <w:rsid w:val="00421559"/>
    <w:rsid w:val="00441610"/>
    <w:rsid w:val="00451DF9"/>
    <w:rsid w:val="0049280C"/>
    <w:rsid w:val="004A3928"/>
    <w:rsid w:val="004A6C4F"/>
    <w:rsid w:val="004E290B"/>
    <w:rsid w:val="00501C66"/>
    <w:rsid w:val="005025F5"/>
    <w:rsid w:val="00527F78"/>
    <w:rsid w:val="00551ACC"/>
    <w:rsid w:val="00555D98"/>
    <w:rsid w:val="00587250"/>
    <w:rsid w:val="005A43CC"/>
    <w:rsid w:val="005C2695"/>
    <w:rsid w:val="005C34C6"/>
    <w:rsid w:val="006462CE"/>
    <w:rsid w:val="00660309"/>
    <w:rsid w:val="00663A4B"/>
    <w:rsid w:val="006A6EBD"/>
    <w:rsid w:val="006C66BE"/>
    <w:rsid w:val="006F6300"/>
    <w:rsid w:val="007200BD"/>
    <w:rsid w:val="00732E22"/>
    <w:rsid w:val="007372E9"/>
    <w:rsid w:val="00742E0A"/>
    <w:rsid w:val="00745D0C"/>
    <w:rsid w:val="007478C1"/>
    <w:rsid w:val="00750931"/>
    <w:rsid w:val="0076008D"/>
    <w:rsid w:val="00762359"/>
    <w:rsid w:val="00766FC7"/>
    <w:rsid w:val="00780C65"/>
    <w:rsid w:val="00784341"/>
    <w:rsid w:val="00792B22"/>
    <w:rsid w:val="00794A8F"/>
    <w:rsid w:val="00797956"/>
    <w:rsid w:val="007C1959"/>
    <w:rsid w:val="007D5E26"/>
    <w:rsid w:val="007E3AE3"/>
    <w:rsid w:val="0082020D"/>
    <w:rsid w:val="008561B7"/>
    <w:rsid w:val="008916AF"/>
    <w:rsid w:val="008A3696"/>
    <w:rsid w:val="008B698B"/>
    <w:rsid w:val="008B7DE8"/>
    <w:rsid w:val="008C495A"/>
    <w:rsid w:val="008D4B69"/>
    <w:rsid w:val="008E3792"/>
    <w:rsid w:val="008F44CD"/>
    <w:rsid w:val="0091737C"/>
    <w:rsid w:val="00924EF6"/>
    <w:rsid w:val="009267F9"/>
    <w:rsid w:val="00986617"/>
    <w:rsid w:val="009C1CC8"/>
    <w:rsid w:val="009D3776"/>
    <w:rsid w:val="009E376F"/>
    <w:rsid w:val="009F47EF"/>
    <w:rsid w:val="00A203D0"/>
    <w:rsid w:val="00A23385"/>
    <w:rsid w:val="00A2388A"/>
    <w:rsid w:val="00A2586B"/>
    <w:rsid w:val="00A527A5"/>
    <w:rsid w:val="00AB262C"/>
    <w:rsid w:val="00AB7033"/>
    <w:rsid w:val="00AC0E69"/>
    <w:rsid w:val="00AC7550"/>
    <w:rsid w:val="00AF5F79"/>
    <w:rsid w:val="00B63FC5"/>
    <w:rsid w:val="00B93347"/>
    <w:rsid w:val="00BA40F7"/>
    <w:rsid w:val="00BC5AB4"/>
    <w:rsid w:val="00BE0048"/>
    <w:rsid w:val="00BE7EBC"/>
    <w:rsid w:val="00C07656"/>
    <w:rsid w:val="00C56D37"/>
    <w:rsid w:val="00C828D7"/>
    <w:rsid w:val="00CC04C6"/>
    <w:rsid w:val="00CC5230"/>
    <w:rsid w:val="00CD058C"/>
    <w:rsid w:val="00CF0D8A"/>
    <w:rsid w:val="00D024A2"/>
    <w:rsid w:val="00D20703"/>
    <w:rsid w:val="00D23DFF"/>
    <w:rsid w:val="00D26836"/>
    <w:rsid w:val="00D433E5"/>
    <w:rsid w:val="00D47809"/>
    <w:rsid w:val="00D6589B"/>
    <w:rsid w:val="00D66110"/>
    <w:rsid w:val="00D75134"/>
    <w:rsid w:val="00D953B1"/>
    <w:rsid w:val="00DB4B1E"/>
    <w:rsid w:val="00DD074E"/>
    <w:rsid w:val="00E00C90"/>
    <w:rsid w:val="00E27F91"/>
    <w:rsid w:val="00E32BCC"/>
    <w:rsid w:val="00E3466A"/>
    <w:rsid w:val="00E43B16"/>
    <w:rsid w:val="00E514BE"/>
    <w:rsid w:val="00E60BB8"/>
    <w:rsid w:val="00E701CF"/>
    <w:rsid w:val="00E746A8"/>
    <w:rsid w:val="00E90B00"/>
    <w:rsid w:val="00EC5418"/>
    <w:rsid w:val="00EC76BE"/>
    <w:rsid w:val="00EE25DF"/>
    <w:rsid w:val="00F30649"/>
    <w:rsid w:val="00F36C10"/>
    <w:rsid w:val="00F37DB2"/>
    <w:rsid w:val="00F431CE"/>
    <w:rsid w:val="00F62930"/>
    <w:rsid w:val="00F951C3"/>
    <w:rsid w:val="00FA41BB"/>
    <w:rsid w:val="00FA56EF"/>
    <w:rsid w:val="00FA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33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7" ma:contentTypeDescription="Create a new document." ma:contentTypeScope="" ma:versionID="8016aa2fd4400ed72bff02e9d815ed3c">
  <xsd:schema xmlns:xsd="http://www.w3.org/2001/XMLSchema" xmlns:xs="http://www.w3.org/2001/XMLSchema" xmlns:p="http://schemas.microsoft.com/office/2006/metadata/properties" xmlns:ns2="b8ed82f2-f7bd-423c-8698-5e132afe9245" targetNamespace="http://schemas.microsoft.com/office/2006/metadata/properties" ma:root="true" ma:fieldsID="7c9a20a6cf47a2408cbefd0ab0e9fb96" ns2:_="">
    <xsd:import namespace="b8ed82f2-f7bd-423c-8698-5e132afe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5977-C4A8-49A9-B04A-731051D020C6}">
  <ds:schemaRefs>
    <ds:schemaRef ds:uri="http://schemas.microsoft.com/sharepoint/v3/contenttype/forms"/>
  </ds:schemaRefs>
</ds:datastoreItem>
</file>

<file path=customXml/itemProps2.xml><?xml version="1.0" encoding="utf-8"?>
<ds:datastoreItem xmlns:ds="http://schemas.openxmlformats.org/officeDocument/2006/customXml" ds:itemID="{2A9B7CD0-C0D1-437C-8A72-94CB1E5EDB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E813C2-5452-45F2-92D7-D5A988C7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315AD-7F8D-443B-84DD-C6035DC2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1326</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Attachment 3</vt:lpstr>
    </vt:vector>
  </TitlesOfParts>
  <Company/>
  <LinksUpToDate>false</LinksUpToDate>
  <CharactersWithSpaces>1574</CharactersWithSpaces>
  <SharedDoc>false</SharedDoc>
  <HyperlinkBase>https://www.cabinet.qld.gov.au/documents/2018/Oct/ApptPC/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
  <cp:keywords/>
  <dc:description/>
  <cp:lastModifiedBy/>
  <cp:revision>4</cp:revision>
  <cp:lastPrinted>2018-04-18T00:00:00Z</cp:lastPrinted>
  <dcterms:created xsi:type="dcterms:W3CDTF">2019-06-07T00:29:00Z</dcterms:created>
  <dcterms:modified xsi:type="dcterms:W3CDTF">2019-12-11T09:16:00Z</dcterms:modified>
  <cp:category>Significant_Appointments,Privacy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